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561" w:rsidRDefault="00A32561" w:rsidP="00A32561">
      <w:pPr>
        <w:widowControl/>
        <w:rPr>
          <w:rFonts w:ascii="楷体" w:eastAsia="楷体" w:hAnsi="楷体"/>
          <w:sz w:val="36"/>
          <w:szCs w:val="36"/>
        </w:rPr>
      </w:pPr>
      <w:r>
        <w:rPr>
          <w:rFonts w:ascii="楷体" w:eastAsia="楷体" w:hAnsi="楷体" w:hint="eastAsia"/>
          <w:sz w:val="36"/>
          <w:szCs w:val="36"/>
        </w:rPr>
        <w:t>附件5</w:t>
      </w:r>
    </w:p>
    <w:p w:rsidR="00A32561" w:rsidRDefault="00A32561" w:rsidP="00A32561">
      <w:pPr>
        <w:jc w:val="center"/>
        <w:rPr>
          <w:rFonts w:ascii="宋体" w:hAnsi="宋体" w:hint="eastAsia"/>
          <w:b/>
          <w:sz w:val="36"/>
          <w:szCs w:val="36"/>
        </w:rPr>
      </w:pPr>
      <w:r>
        <w:rPr>
          <w:rFonts w:ascii="宋体" w:hAnsi="宋体" w:hint="eastAsia"/>
          <w:b/>
          <w:sz w:val="36"/>
          <w:szCs w:val="36"/>
        </w:rPr>
        <w:t>上海市阳光宝宝卡（视力类）评估与补贴规定</w:t>
      </w:r>
    </w:p>
    <w:p w:rsidR="00A32561" w:rsidRDefault="00A32561" w:rsidP="00A32561">
      <w:pPr>
        <w:jc w:val="left"/>
        <w:rPr>
          <w:rFonts w:ascii="宋体" w:hAnsi="宋体"/>
          <w:b/>
          <w:sz w:val="28"/>
          <w:szCs w:val="28"/>
        </w:rPr>
      </w:pPr>
    </w:p>
    <w:p w:rsidR="00A32561" w:rsidRDefault="00A32561" w:rsidP="00A32561">
      <w:pPr>
        <w:ind w:firstLineChars="200" w:firstLine="600"/>
        <w:jc w:val="left"/>
        <w:rPr>
          <w:rFonts w:ascii="黑体" w:eastAsia="黑体" w:hAnsi="黑体"/>
          <w:sz w:val="30"/>
          <w:szCs w:val="30"/>
        </w:rPr>
      </w:pPr>
      <w:r>
        <w:rPr>
          <w:rFonts w:ascii="黑体" w:eastAsia="黑体" w:hAnsi="黑体" w:hint="eastAsia"/>
          <w:sz w:val="30"/>
          <w:szCs w:val="30"/>
        </w:rPr>
        <w:t>一、评估标准</w:t>
      </w:r>
    </w:p>
    <w:p w:rsidR="00A32561" w:rsidRDefault="00A32561" w:rsidP="00A32561">
      <w:pPr>
        <w:ind w:firstLineChars="200" w:firstLine="643"/>
        <w:jc w:val="left"/>
        <w:rPr>
          <w:rFonts w:ascii="仿宋_GB2312" w:eastAsia="仿宋_GB2312" w:hint="eastAsia"/>
          <w:b/>
          <w:sz w:val="32"/>
          <w:szCs w:val="32"/>
        </w:rPr>
      </w:pPr>
      <w:r>
        <w:rPr>
          <w:rFonts w:ascii="仿宋_GB2312" w:eastAsia="仿宋_GB2312" w:hint="eastAsia"/>
          <w:b/>
          <w:sz w:val="32"/>
          <w:szCs w:val="32"/>
        </w:rPr>
        <w:t>（一）0～7周岁（含）</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1.可配合视力检查的儿童，满足以下标准之一：</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（1）3～5周岁（含）儿童最佳矫正视力≤0.5;</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（2）6～7周岁（含）儿童最佳矫正视力≤0.7；</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（3）双眼最佳矫正视力相差＞2行。</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2.无法完成视力检查的儿童，在睫状肌充分麻痹后验光，满足以下标准之一：</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（1）双眼远视球镜度数相差≥1.50DS；</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（2）</w:t>
      </w:r>
      <w:proofErr w:type="gramStart"/>
      <w:r>
        <w:rPr>
          <w:rFonts w:ascii="仿宋_GB2312" w:eastAsia="仿宋_GB2312" w:hint="eastAsia"/>
          <w:sz w:val="32"/>
          <w:szCs w:val="32"/>
        </w:rPr>
        <w:t>双眼柱镜度数</w:t>
      </w:r>
      <w:proofErr w:type="gramEnd"/>
      <w:r>
        <w:rPr>
          <w:rFonts w:ascii="仿宋_GB2312" w:eastAsia="仿宋_GB2312" w:hint="eastAsia"/>
          <w:sz w:val="32"/>
          <w:szCs w:val="32"/>
        </w:rPr>
        <w:t>相差≥1.00DC；</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（3）双眼远视球镜度数均≥5.00DS；</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（4）双眼</w:t>
      </w:r>
      <w:proofErr w:type="gramStart"/>
      <w:r>
        <w:rPr>
          <w:rFonts w:ascii="仿宋_GB2312" w:eastAsia="仿宋_GB2312" w:hint="eastAsia"/>
          <w:sz w:val="32"/>
          <w:szCs w:val="32"/>
        </w:rPr>
        <w:t>近视球</w:t>
      </w:r>
      <w:proofErr w:type="gramEnd"/>
      <w:r>
        <w:rPr>
          <w:rFonts w:ascii="仿宋_GB2312" w:eastAsia="仿宋_GB2312" w:hint="eastAsia"/>
          <w:sz w:val="32"/>
          <w:szCs w:val="32"/>
        </w:rPr>
        <w:t>镜度数均≥6.00DS；</w:t>
      </w:r>
    </w:p>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t>（5）</w:t>
      </w:r>
      <w:proofErr w:type="gramStart"/>
      <w:r>
        <w:rPr>
          <w:rFonts w:ascii="仿宋_GB2312" w:eastAsia="仿宋_GB2312" w:hint="eastAsia"/>
          <w:sz w:val="32"/>
          <w:szCs w:val="32"/>
        </w:rPr>
        <w:t>双眼柱镜度数</w:t>
      </w:r>
      <w:proofErr w:type="gramEnd"/>
      <w:r>
        <w:rPr>
          <w:rFonts w:ascii="仿宋_GB2312" w:eastAsia="仿宋_GB2312" w:hint="eastAsia"/>
          <w:sz w:val="32"/>
          <w:szCs w:val="32"/>
        </w:rPr>
        <w:t>均≥2.00DC。</w:t>
      </w:r>
    </w:p>
    <w:p w:rsidR="00A32561" w:rsidRDefault="00A32561" w:rsidP="00A32561">
      <w:pPr>
        <w:ind w:firstLineChars="200" w:firstLine="643"/>
        <w:jc w:val="left"/>
        <w:rPr>
          <w:rFonts w:ascii="仿宋_GB2312" w:eastAsia="仿宋_GB2312"/>
          <w:b/>
          <w:sz w:val="32"/>
          <w:szCs w:val="32"/>
        </w:rPr>
      </w:pPr>
      <w:r>
        <w:rPr>
          <w:rFonts w:ascii="仿宋_GB2312" w:eastAsia="仿宋_GB2312" w:hint="eastAsia"/>
          <w:b/>
          <w:sz w:val="32"/>
          <w:szCs w:val="32"/>
        </w:rPr>
        <w:t>（二）8</w:t>
      </w:r>
      <w:r>
        <w:rPr>
          <w:rFonts w:ascii="仿宋_GB2312" w:eastAsia="仿宋_GB2312" w:hint="eastAsia"/>
          <w:sz w:val="32"/>
          <w:szCs w:val="32"/>
        </w:rPr>
        <w:t>～</w:t>
      </w:r>
      <w:r>
        <w:rPr>
          <w:rFonts w:ascii="仿宋_GB2312" w:eastAsia="仿宋_GB2312" w:hint="eastAsia"/>
          <w:b/>
          <w:sz w:val="32"/>
          <w:szCs w:val="32"/>
        </w:rPr>
        <w:t>18周岁（不含）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985"/>
        <w:gridCol w:w="4728"/>
      </w:tblGrid>
      <w:tr w:rsidR="00A32561" w:rsidTr="00F43D3A">
        <w:trPr>
          <w:jc w:val="center"/>
        </w:trPr>
        <w:tc>
          <w:tcPr>
            <w:tcW w:w="1809"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类别</w:t>
            </w:r>
          </w:p>
        </w:tc>
        <w:tc>
          <w:tcPr>
            <w:tcW w:w="1985"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级别</w:t>
            </w:r>
          </w:p>
        </w:tc>
        <w:tc>
          <w:tcPr>
            <w:tcW w:w="4728"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最佳矫正视力</w:t>
            </w:r>
          </w:p>
        </w:tc>
      </w:tr>
      <w:tr w:rsidR="00A32561" w:rsidTr="00F43D3A">
        <w:trPr>
          <w:jc w:val="center"/>
        </w:trPr>
        <w:tc>
          <w:tcPr>
            <w:tcW w:w="1809" w:type="dxa"/>
            <w:vMerge w:val="restart"/>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盲</w:t>
            </w:r>
          </w:p>
        </w:tc>
        <w:tc>
          <w:tcPr>
            <w:tcW w:w="1985"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一级</w:t>
            </w:r>
          </w:p>
        </w:tc>
        <w:tc>
          <w:tcPr>
            <w:tcW w:w="4728"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无光感～&lt;0.02；或视野半径&lt;5度</w:t>
            </w:r>
          </w:p>
        </w:tc>
      </w:tr>
      <w:tr w:rsidR="00A32561" w:rsidTr="00F43D3A">
        <w:trPr>
          <w:jc w:val="center"/>
        </w:trPr>
        <w:tc>
          <w:tcPr>
            <w:tcW w:w="1809" w:type="dxa"/>
            <w:vMerge/>
            <w:vAlign w:val="center"/>
          </w:tcPr>
          <w:p w:rsidR="00A32561" w:rsidRDefault="00A32561" w:rsidP="00F43D3A">
            <w:pPr>
              <w:jc w:val="center"/>
              <w:rPr>
                <w:rFonts w:ascii="仿宋_GB2312" w:eastAsia="仿宋_GB2312"/>
                <w:sz w:val="30"/>
                <w:szCs w:val="30"/>
              </w:rPr>
            </w:pPr>
          </w:p>
        </w:tc>
        <w:tc>
          <w:tcPr>
            <w:tcW w:w="1985"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二级</w:t>
            </w:r>
          </w:p>
        </w:tc>
        <w:tc>
          <w:tcPr>
            <w:tcW w:w="4728"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0.02～&lt;0.05；或视野半径&lt;10度</w:t>
            </w:r>
          </w:p>
        </w:tc>
      </w:tr>
      <w:tr w:rsidR="00A32561" w:rsidTr="00F43D3A">
        <w:trPr>
          <w:jc w:val="center"/>
        </w:trPr>
        <w:tc>
          <w:tcPr>
            <w:tcW w:w="1809" w:type="dxa"/>
            <w:vMerge w:val="restart"/>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低视力</w:t>
            </w:r>
          </w:p>
        </w:tc>
        <w:tc>
          <w:tcPr>
            <w:tcW w:w="1985"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三级</w:t>
            </w:r>
          </w:p>
        </w:tc>
        <w:tc>
          <w:tcPr>
            <w:tcW w:w="4728"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0.05～&lt;0.1</w:t>
            </w:r>
          </w:p>
        </w:tc>
      </w:tr>
      <w:tr w:rsidR="00A32561" w:rsidTr="00F43D3A">
        <w:trPr>
          <w:jc w:val="center"/>
        </w:trPr>
        <w:tc>
          <w:tcPr>
            <w:tcW w:w="1809" w:type="dxa"/>
            <w:vMerge/>
            <w:vAlign w:val="center"/>
          </w:tcPr>
          <w:p w:rsidR="00A32561" w:rsidRDefault="00A32561" w:rsidP="00F43D3A">
            <w:pPr>
              <w:jc w:val="center"/>
              <w:rPr>
                <w:rFonts w:ascii="仿宋_GB2312" w:eastAsia="仿宋_GB2312"/>
                <w:sz w:val="30"/>
                <w:szCs w:val="30"/>
              </w:rPr>
            </w:pPr>
          </w:p>
        </w:tc>
        <w:tc>
          <w:tcPr>
            <w:tcW w:w="1985"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四级</w:t>
            </w:r>
          </w:p>
        </w:tc>
        <w:tc>
          <w:tcPr>
            <w:tcW w:w="4728" w:type="dxa"/>
            <w:vAlign w:val="center"/>
          </w:tcPr>
          <w:p w:rsidR="00A32561" w:rsidRDefault="00A32561" w:rsidP="00F43D3A">
            <w:pPr>
              <w:jc w:val="center"/>
              <w:rPr>
                <w:rFonts w:ascii="仿宋_GB2312" w:eastAsia="仿宋_GB2312"/>
                <w:sz w:val="30"/>
                <w:szCs w:val="30"/>
              </w:rPr>
            </w:pPr>
            <w:r>
              <w:rPr>
                <w:rFonts w:ascii="仿宋_GB2312" w:eastAsia="仿宋_GB2312" w:hint="eastAsia"/>
                <w:sz w:val="30"/>
                <w:szCs w:val="30"/>
              </w:rPr>
              <w:t>0.1～&lt;0.3</w:t>
            </w:r>
          </w:p>
        </w:tc>
      </w:tr>
    </w:tbl>
    <w:p w:rsidR="00A32561" w:rsidRDefault="00A32561" w:rsidP="00A32561">
      <w:pPr>
        <w:ind w:firstLineChars="200" w:firstLine="640"/>
        <w:jc w:val="left"/>
        <w:rPr>
          <w:rFonts w:ascii="仿宋_GB2312" w:eastAsia="仿宋_GB2312" w:hint="eastAsia"/>
          <w:sz w:val="32"/>
          <w:szCs w:val="32"/>
        </w:rPr>
      </w:pPr>
      <w:r>
        <w:rPr>
          <w:rFonts w:ascii="仿宋_GB2312" w:eastAsia="仿宋_GB2312" w:hint="eastAsia"/>
          <w:sz w:val="32"/>
          <w:szCs w:val="32"/>
        </w:rPr>
        <w:lastRenderedPageBreak/>
        <w:t>若双眼视力不同，则以视力较好的一眼为准。</w:t>
      </w:r>
    </w:p>
    <w:p w:rsidR="00A32561" w:rsidRDefault="00A32561" w:rsidP="00A32561">
      <w:pPr>
        <w:ind w:firstLineChars="200" w:firstLine="640"/>
        <w:jc w:val="left"/>
        <w:rPr>
          <w:rFonts w:ascii="黑体" w:eastAsia="黑体" w:hAnsi="黑体"/>
          <w:sz w:val="32"/>
          <w:szCs w:val="32"/>
        </w:rPr>
      </w:pPr>
      <w:r>
        <w:rPr>
          <w:rFonts w:ascii="黑体" w:eastAsia="黑体" w:hAnsi="黑体" w:hint="eastAsia"/>
          <w:sz w:val="32"/>
          <w:szCs w:val="32"/>
        </w:rPr>
        <w:t>二、康复训练补贴</w:t>
      </w:r>
    </w:p>
    <w:p w:rsidR="00A32561" w:rsidRDefault="00A32561" w:rsidP="00A32561">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一）阳光宝宝卡（视力类）持卡儿童须每年进行评估复评，即在新结算年度开始康复训练前，前往“上海市阳光宝宝卡康复需求评估机构”（视力）评估，由评估机构在《康复训练记录本》上详细记录评估结果并加盖公章，不再符合评估标准的不予补贴。持本市颁发的《中华人民共和国残疾人证》（残疾类别为视力残疾）的儿童无需每年复评。</w:t>
      </w:r>
    </w:p>
    <w:p w:rsidR="00A32561" w:rsidRDefault="00A32561" w:rsidP="00A32561">
      <w:pPr>
        <w:rPr>
          <w:rFonts w:ascii="仿宋_GB2312" w:eastAsia="仿宋_GB2312" w:hint="eastAsia"/>
          <w:sz w:val="32"/>
          <w:szCs w:val="32"/>
        </w:rPr>
      </w:pPr>
      <w:r>
        <w:rPr>
          <w:rFonts w:ascii="仿宋_GB2312" w:eastAsia="仿宋_GB2312" w:hint="eastAsia"/>
          <w:sz w:val="32"/>
          <w:szCs w:val="32"/>
        </w:rPr>
        <w:t xml:space="preserve">    （二）阳光宝宝卡（视力类）持卡儿童参加网络视功能训练的，申请网络视功能训练补贴时须在完成训练疗程后出示课程明细单并加盖医疗机构（单位）或其附属机构公章，且报销金额最高为训练补贴限额的50%。</w:t>
      </w:r>
    </w:p>
    <w:p w:rsidR="00A32561" w:rsidRDefault="00A32561" w:rsidP="00A32561">
      <w:pPr>
        <w:rPr>
          <w:rFonts w:ascii="仿宋_GB2312" w:eastAsia="仿宋_GB2312" w:hint="eastAsia"/>
          <w:sz w:val="32"/>
          <w:szCs w:val="32"/>
        </w:rPr>
      </w:pPr>
    </w:p>
    <w:p w:rsidR="00A32561" w:rsidRDefault="00A32561" w:rsidP="00A32561">
      <w:pPr>
        <w:rPr>
          <w:rFonts w:ascii="仿宋_GB2312" w:eastAsia="仿宋_GB2312" w:hint="eastAsia"/>
          <w:sz w:val="32"/>
          <w:szCs w:val="32"/>
        </w:rPr>
      </w:pPr>
    </w:p>
    <w:p w:rsidR="00A32561" w:rsidRDefault="00A32561" w:rsidP="00A32561">
      <w:pPr>
        <w:rPr>
          <w:rFonts w:ascii="仿宋_GB2312" w:eastAsia="仿宋_GB2312" w:hint="eastAsia"/>
          <w:sz w:val="32"/>
          <w:szCs w:val="32"/>
        </w:rPr>
      </w:pPr>
    </w:p>
    <w:p w:rsidR="0083691F" w:rsidRPr="00A32561" w:rsidRDefault="0083691F">
      <w:bookmarkStart w:id="0" w:name="_GoBack"/>
      <w:bookmarkEnd w:id="0"/>
    </w:p>
    <w:sectPr w:rsidR="0083691F" w:rsidRPr="00A32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7B" w:rsidRDefault="00B0007B" w:rsidP="00A32561">
      <w:r>
        <w:separator/>
      </w:r>
    </w:p>
  </w:endnote>
  <w:endnote w:type="continuationSeparator" w:id="0">
    <w:p w:rsidR="00B0007B" w:rsidRDefault="00B0007B" w:rsidP="00A3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7B" w:rsidRDefault="00B0007B" w:rsidP="00A32561">
      <w:r>
        <w:separator/>
      </w:r>
    </w:p>
  </w:footnote>
  <w:footnote w:type="continuationSeparator" w:id="0">
    <w:p w:rsidR="00B0007B" w:rsidRDefault="00B0007B" w:rsidP="00A3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77"/>
    <w:rsid w:val="00193F77"/>
    <w:rsid w:val="004E3A55"/>
    <w:rsid w:val="0083691F"/>
    <w:rsid w:val="00A32561"/>
    <w:rsid w:val="00A44B38"/>
    <w:rsid w:val="00B0007B"/>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56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5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2561"/>
    <w:rPr>
      <w:sz w:val="18"/>
      <w:szCs w:val="18"/>
    </w:rPr>
  </w:style>
  <w:style w:type="paragraph" w:styleId="a4">
    <w:name w:val="footer"/>
    <w:basedOn w:val="a"/>
    <w:link w:val="Char0"/>
    <w:uiPriority w:val="99"/>
    <w:unhideWhenUsed/>
    <w:rsid w:val="00A325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25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56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25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2561"/>
    <w:rPr>
      <w:sz w:val="18"/>
      <w:szCs w:val="18"/>
    </w:rPr>
  </w:style>
  <w:style w:type="paragraph" w:styleId="a4">
    <w:name w:val="footer"/>
    <w:basedOn w:val="a"/>
    <w:link w:val="Char0"/>
    <w:uiPriority w:val="99"/>
    <w:unhideWhenUsed/>
    <w:rsid w:val="00A325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25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574</Characters>
  <Application>Microsoft Office Word</Application>
  <DocSecurity>0</DocSecurity>
  <Lines>4</Lines>
  <Paragraphs>1</Paragraphs>
  <ScaleCrop>false</ScaleCrop>
  <Company>MS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2023-07-18T07:21:00Z</dcterms:created>
  <dcterms:modified xsi:type="dcterms:W3CDTF">2023-07-18T07:21:00Z</dcterms:modified>
</cp:coreProperties>
</file>